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F8C41" w14:textId="77777777" w:rsidR="003B5837" w:rsidRPr="003B5837" w:rsidRDefault="003B5837" w:rsidP="003B5837">
      <w:pPr>
        <w:spacing w:after="225" w:line="240" w:lineRule="auto"/>
        <w:outlineLvl w:val="0"/>
        <w:rPr>
          <w:rFonts w:ascii="inherit" w:eastAsia="Times New Roman" w:hAnsi="inherit" w:cs="Times New Roman"/>
          <w:b/>
          <w:bCs/>
          <w:color w:val="000000"/>
          <w:kern w:val="36"/>
          <w:sz w:val="48"/>
          <w:szCs w:val="48"/>
          <w:lang w:eastAsia="en-CA"/>
        </w:rPr>
      </w:pPr>
      <w:r w:rsidRPr="003B5837">
        <w:rPr>
          <w:rFonts w:ascii="inherit" w:eastAsia="Times New Roman" w:hAnsi="inherit" w:cs="Times New Roman"/>
          <w:b/>
          <w:bCs/>
          <w:color w:val="000000"/>
          <w:kern w:val="36"/>
          <w:sz w:val="48"/>
          <w:szCs w:val="48"/>
          <w:lang w:eastAsia="en-CA"/>
        </w:rPr>
        <w:t>Loss of Income (child or young adult)</w:t>
      </w:r>
    </w:p>
    <w:p w14:paraId="11947DB8" w14:textId="77777777" w:rsidR="003B5837" w:rsidRPr="003B5837" w:rsidRDefault="003B5837" w:rsidP="003B5837">
      <w:pPr>
        <w:shd w:val="clear" w:color="auto" w:fill="FFFFFF"/>
        <w:spacing w:after="225" w:line="240" w:lineRule="auto"/>
        <w:outlineLvl w:val="2"/>
        <w:rPr>
          <w:rFonts w:ascii="inherit" w:eastAsia="Times New Roman" w:hAnsi="inherit" w:cs="Times New Roman"/>
          <w:i/>
          <w:iCs/>
          <w:color w:val="000000"/>
          <w:sz w:val="29"/>
          <w:szCs w:val="29"/>
          <w:lang w:eastAsia="en-CA"/>
        </w:rPr>
      </w:pPr>
      <w:bookmarkStart w:id="0" w:name="_GoBack"/>
      <w:proofErr w:type="spellStart"/>
      <w:r w:rsidRPr="003B5837">
        <w:rPr>
          <w:rFonts w:ascii="inherit" w:eastAsia="Times New Roman" w:hAnsi="inherit" w:cs="Times New Roman"/>
          <w:i/>
          <w:iCs/>
          <w:color w:val="000000"/>
          <w:sz w:val="29"/>
          <w:szCs w:val="29"/>
          <w:lang w:eastAsia="en-CA"/>
        </w:rPr>
        <w:t>Economica’s</w:t>
      </w:r>
      <w:proofErr w:type="spellEnd"/>
      <w:r w:rsidRPr="003B5837">
        <w:rPr>
          <w:rFonts w:ascii="inherit" w:eastAsia="Times New Roman" w:hAnsi="inherit" w:cs="Times New Roman"/>
          <w:i/>
          <w:iCs/>
          <w:color w:val="000000"/>
          <w:sz w:val="29"/>
          <w:szCs w:val="29"/>
          <w:lang w:eastAsia="en-CA"/>
        </w:rPr>
        <w:t xml:space="preserve"> Assessments: Information required to complete a loss of income (personal injury) assessment when the plaintiff is a minor or young adult</w:t>
      </w:r>
    </w:p>
    <w:bookmarkEnd w:id="0"/>
    <w:p w14:paraId="08A7C919" w14:textId="77777777" w:rsidR="003B5837" w:rsidRPr="003B5837" w:rsidRDefault="003B5837" w:rsidP="003B5837">
      <w:pPr>
        <w:shd w:val="clear" w:color="auto" w:fill="FFFFFF"/>
        <w:spacing w:after="360" w:line="240" w:lineRule="auto"/>
        <w:rPr>
          <w:rFonts w:ascii="Times New Roman" w:eastAsia="Times New Roman" w:hAnsi="Times New Roman" w:cs="Times New Roman"/>
          <w:color w:val="404040"/>
          <w:sz w:val="26"/>
          <w:szCs w:val="26"/>
          <w:lang w:eastAsia="en-CA"/>
        </w:rPr>
      </w:pPr>
      <w:r w:rsidRPr="003B5837">
        <w:rPr>
          <w:rFonts w:ascii="Times New Roman" w:eastAsia="Times New Roman" w:hAnsi="Times New Roman" w:cs="Times New Roman"/>
          <w:color w:val="404040"/>
          <w:sz w:val="26"/>
          <w:szCs w:val="26"/>
          <w:lang w:eastAsia="en-CA"/>
        </w:rPr>
        <w:t>We have outlined below the information which we typically require in order to complete a loss of income assessment when the injured person is a minor or young adult (i.e., the person does not have an established career path).</w:t>
      </w:r>
    </w:p>
    <w:p w14:paraId="27DA81F9" w14:textId="2E803D81" w:rsidR="003B5837" w:rsidRPr="003B5837" w:rsidRDefault="003B5837" w:rsidP="003B5837">
      <w:pPr>
        <w:shd w:val="clear" w:color="auto" w:fill="FFFFFF"/>
        <w:spacing w:before="100" w:beforeAutospacing="1" w:after="100" w:afterAutospacing="1" w:line="240" w:lineRule="auto"/>
        <w:ind w:left="360"/>
        <w:rPr>
          <w:rFonts w:ascii="Times New Roman" w:eastAsia="Times New Roman" w:hAnsi="Times New Roman" w:cs="Times New Roman"/>
          <w:color w:val="404040"/>
          <w:sz w:val="26"/>
          <w:szCs w:val="26"/>
          <w:lang w:eastAsia="en-CA"/>
        </w:rPr>
      </w:pPr>
      <w:sdt>
        <w:sdtPr>
          <w:rPr>
            <w:rFonts w:ascii="Times New Roman" w:eastAsia="Times New Roman" w:hAnsi="Times New Roman" w:cs="Times New Roman"/>
            <w:color w:val="404040"/>
            <w:sz w:val="26"/>
            <w:szCs w:val="26"/>
            <w:lang w:eastAsia="en-CA"/>
          </w:rPr>
          <w:id w:val="-1723969265"/>
          <w14:checkbox>
            <w14:checked w14:val="0"/>
            <w14:checkedState w14:val="2612" w14:font="MS Gothic"/>
            <w14:uncheckedState w14:val="2610" w14:font="MS Gothic"/>
          </w14:checkbox>
        </w:sdtPr>
        <w:sdtContent>
          <w:r>
            <w:rPr>
              <w:rFonts w:ascii="MS Gothic" w:eastAsia="MS Gothic" w:hAnsi="MS Gothic" w:cs="Times New Roman" w:hint="eastAsia"/>
              <w:color w:val="404040"/>
              <w:sz w:val="26"/>
              <w:szCs w:val="26"/>
              <w:lang w:eastAsia="en-CA"/>
            </w:rPr>
            <w:t>☐</w:t>
          </w:r>
        </w:sdtContent>
      </w:sdt>
      <w:r>
        <w:rPr>
          <w:rFonts w:ascii="Times New Roman" w:eastAsia="Times New Roman" w:hAnsi="Times New Roman" w:cs="Times New Roman"/>
          <w:color w:val="404040"/>
          <w:sz w:val="26"/>
          <w:szCs w:val="26"/>
          <w:lang w:eastAsia="en-CA"/>
        </w:rPr>
        <w:tab/>
      </w:r>
      <w:r>
        <w:rPr>
          <w:rFonts w:ascii="Times New Roman" w:eastAsia="Times New Roman" w:hAnsi="Times New Roman" w:cs="Times New Roman"/>
          <w:color w:val="404040"/>
          <w:sz w:val="26"/>
          <w:szCs w:val="26"/>
          <w:lang w:eastAsia="en-CA"/>
        </w:rPr>
        <w:tab/>
      </w:r>
      <w:r w:rsidRPr="003B5837">
        <w:rPr>
          <w:rFonts w:ascii="Times New Roman" w:eastAsia="Times New Roman" w:hAnsi="Times New Roman" w:cs="Times New Roman"/>
          <w:color w:val="404040"/>
          <w:sz w:val="26"/>
          <w:szCs w:val="26"/>
          <w:lang w:eastAsia="en-CA"/>
        </w:rPr>
        <w:t>The plaintiff’s date of birth.</w:t>
      </w:r>
    </w:p>
    <w:p w14:paraId="04B908A6" w14:textId="08C45CBA" w:rsidR="003B5837" w:rsidRPr="003B5837" w:rsidRDefault="003B5837" w:rsidP="003B5837">
      <w:pPr>
        <w:shd w:val="clear" w:color="auto" w:fill="FFFFFF"/>
        <w:spacing w:before="100" w:beforeAutospacing="1" w:after="100" w:afterAutospacing="1" w:line="240" w:lineRule="auto"/>
        <w:ind w:left="1440" w:hanging="1080"/>
        <w:rPr>
          <w:rFonts w:ascii="Times New Roman" w:eastAsia="Times New Roman" w:hAnsi="Times New Roman" w:cs="Times New Roman"/>
          <w:color w:val="404040"/>
          <w:sz w:val="26"/>
          <w:szCs w:val="26"/>
          <w:lang w:eastAsia="en-CA"/>
        </w:rPr>
      </w:pPr>
      <w:sdt>
        <w:sdtPr>
          <w:rPr>
            <w:rFonts w:ascii="Times New Roman" w:eastAsia="Times New Roman" w:hAnsi="Times New Roman" w:cs="Times New Roman"/>
            <w:color w:val="404040"/>
            <w:sz w:val="26"/>
            <w:szCs w:val="26"/>
            <w:lang w:eastAsia="en-CA"/>
          </w:rPr>
          <w:id w:val="-360136533"/>
          <w14:checkbox>
            <w14:checked w14:val="0"/>
            <w14:checkedState w14:val="2612" w14:font="MS Gothic"/>
            <w14:uncheckedState w14:val="2610" w14:font="MS Gothic"/>
          </w14:checkbox>
        </w:sdtPr>
        <w:sdtContent>
          <w:r>
            <w:rPr>
              <w:rFonts w:ascii="MS Gothic" w:eastAsia="MS Gothic" w:hAnsi="MS Gothic" w:cs="Times New Roman" w:hint="eastAsia"/>
              <w:color w:val="404040"/>
              <w:sz w:val="26"/>
              <w:szCs w:val="26"/>
              <w:lang w:eastAsia="en-CA"/>
            </w:rPr>
            <w:t>☐</w:t>
          </w:r>
        </w:sdtContent>
      </w:sdt>
      <w:r>
        <w:rPr>
          <w:rFonts w:ascii="Times New Roman" w:eastAsia="Times New Roman" w:hAnsi="Times New Roman" w:cs="Times New Roman"/>
          <w:color w:val="404040"/>
          <w:sz w:val="26"/>
          <w:szCs w:val="26"/>
          <w:lang w:eastAsia="en-CA"/>
        </w:rPr>
        <w:tab/>
      </w:r>
      <w:r w:rsidRPr="003B5837">
        <w:rPr>
          <w:rFonts w:ascii="Times New Roman" w:eastAsia="Times New Roman" w:hAnsi="Times New Roman" w:cs="Times New Roman"/>
          <w:color w:val="404040"/>
          <w:sz w:val="26"/>
          <w:szCs w:val="26"/>
          <w:lang w:eastAsia="en-CA"/>
        </w:rPr>
        <w:t>The scheduled trial date, or the date which we should use as an “assumed settlement date.” A settlement date is necessary to provide a “point of reference” for our calculations.</w:t>
      </w:r>
    </w:p>
    <w:p w14:paraId="498D7DF4" w14:textId="7025FD65" w:rsidR="003B5837" w:rsidRPr="003B5837" w:rsidRDefault="003B5837" w:rsidP="003B5837">
      <w:pPr>
        <w:shd w:val="clear" w:color="auto" w:fill="FFFFFF"/>
        <w:spacing w:before="100" w:beforeAutospacing="1" w:after="100" w:afterAutospacing="1" w:line="240" w:lineRule="auto"/>
        <w:ind w:left="1440" w:hanging="1080"/>
        <w:rPr>
          <w:rFonts w:ascii="Times New Roman" w:eastAsia="Times New Roman" w:hAnsi="Times New Roman" w:cs="Times New Roman"/>
          <w:color w:val="404040"/>
          <w:sz w:val="26"/>
          <w:szCs w:val="26"/>
          <w:lang w:eastAsia="en-CA"/>
        </w:rPr>
      </w:pPr>
      <w:sdt>
        <w:sdtPr>
          <w:rPr>
            <w:rFonts w:ascii="Times New Roman" w:eastAsia="Times New Roman" w:hAnsi="Times New Roman" w:cs="Times New Roman"/>
            <w:color w:val="404040"/>
            <w:sz w:val="26"/>
            <w:szCs w:val="26"/>
            <w:lang w:eastAsia="en-CA"/>
          </w:rPr>
          <w:id w:val="753022602"/>
          <w14:checkbox>
            <w14:checked w14:val="0"/>
            <w14:checkedState w14:val="2612" w14:font="MS Gothic"/>
            <w14:uncheckedState w14:val="2610" w14:font="MS Gothic"/>
          </w14:checkbox>
        </w:sdtPr>
        <w:sdtContent>
          <w:r>
            <w:rPr>
              <w:rFonts w:ascii="MS Gothic" w:eastAsia="MS Gothic" w:hAnsi="MS Gothic" w:cs="Times New Roman" w:hint="eastAsia"/>
              <w:color w:val="404040"/>
              <w:sz w:val="26"/>
              <w:szCs w:val="26"/>
              <w:lang w:eastAsia="en-CA"/>
            </w:rPr>
            <w:t>☐</w:t>
          </w:r>
        </w:sdtContent>
      </w:sdt>
      <w:r>
        <w:rPr>
          <w:rFonts w:ascii="Times New Roman" w:eastAsia="Times New Roman" w:hAnsi="Times New Roman" w:cs="Times New Roman"/>
          <w:color w:val="404040"/>
          <w:sz w:val="26"/>
          <w:szCs w:val="26"/>
          <w:lang w:eastAsia="en-CA"/>
        </w:rPr>
        <w:tab/>
      </w:r>
      <w:r w:rsidRPr="003B5837">
        <w:rPr>
          <w:rFonts w:ascii="Times New Roman" w:eastAsia="Times New Roman" w:hAnsi="Times New Roman" w:cs="Times New Roman"/>
          <w:color w:val="404040"/>
          <w:sz w:val="26"/>
          <w:szCs w:val="26"/>
          <w:lang w:eastAsia="en-CA"/>
        </w:rPr>
        <w:t xml:space="preserve">Any items that will provide us with a brief overview of the details behind the accident, the injuries, and medical treatment. Note that, as economists, we are not qualified to interpret items such as operation reports, MRI reports, and so forth. Therefore, it is not necessary to send us </w:t>
      </w:r>
      <w:proofErr w:type="gramStart"/>
      <w:r w:rsidRPr="003B5837">
        <w:rPr>
          <w:rFonts w:ascii="Times New Roman" w:eastAsia="Times New Roman" w:hAnsi="Times New Roman" w:cs="Times New Roman"/>
          <w:color w:val="404040"/>
          <w:sz w:val="26"/>
          <w:szCs w:val="26"/>
          <w:lang w:eastAsia="en-CA"/>
        </w:rPr>
        <w:t>all of</w:t>
      </w:r>
      <w:proofErr w:type="gramEnd"/>
      <w:r w:rsidRPr="003B5837">
        <w:rPr>
          <w:rFonts w:ascii="Times New Roman" w:eastAsia="Times New Roman" w:hAnsi="Times New Roman" w:cs="Times New Roman"/>
          <w:color w:val="404040"/>
          <w:sz w:val="26"/>
          <w:szCs w:val="26"/>
          <w:lang w:eastAsia="en-CA"/>
        </w:rPr>
        <w:t xml:space="preserve"> the technical medical reports which are available.</w:t>
      </w:r>
    </w:p>
    <w:p w14:paraId="5425D594" w14:textId="7C7703DF" w:rsidR="003B5837" w:rsidRPr="003B5837" w:rsidRDefault="003B5837" w:rsidP="003B5837">
      <w:pPr>
        <w:shd w:val="clear" w:color="auto" w:fill="FFFFFF"/>
        <w:spacing w:before="100" w:beforeAutospacing="1" w:after="100" w:afterAutospacing="1" w:line="240" w:lineRule="auto"/>
        <w:ind w:left="1440" w:hanging="1080"/>
        <w:rPr>
          <w:rFonts w:ascii="Times New Roman" w:eastAsia="Times New Roman" w:hAnsi="Times New Roman" w:cs="Times New Roman"/>
          <w:color w:val="404040"/>
          <w:sz w:val="26"/>
          <w:szCs w:val="26"/>
          <w:lang w:eastAsia="en-CA"/>
        </w:rPr>
      </w:pPr>
      <w:sdt>
        <w:sdtPr>
          <w:rPr>
            <w:rFonts w:ascii="Times New Roman" w:eastAsia="Times New Roman" w:hAnsi="Times New Roman" w:cs="Times New Roman"/>
            <w:color w:val="404040"/>
            <w:sz w:val="26"/>
            <w:szCs w:val="26"/>
            <w:lang w:eastAsia="en-CA"/>
          </w:rPr>
          <w:id w:val="631840470"/>
          <w14:checkbox>
            <w14:checked w14:val="0"/>
            <w14:checkedState w14:val="2612" w14:font="MS Gothic"/>
            <w14:uncheckedState w14:val="2610" w14:font="MS Gothic"/>
          </w14:checkbox>
        </w:sdtPr>
        <w:sdtContent>
          <w:r>
            <w:rPr>
              <w:rFonts w:ascii="MS Gothic" w:eastAsia="MS Gothic" w:hAnsi="MS Gothic" w:cs="Times New Roman" w:hint="eastAsia"/>
              <w:color w:val="404040"/>
              <w:sz w:val="26"/>
              <w:szCs w:val="26"/>
              <w:lang w:eastAsia="en-CA"/>
            </w:rPr>
            <w:t>☐</w:t>
          </w:r>
        </w:sdtContent>
      </w:sdt>
      <w:r>
        <w:rPr>
          <w:rFonts w:ascii="Times New Roman" w:eastAsia="Times New Roman" w:hAnsi="Times New Roman" w:cs="Times New Roman"/>
          <w:color w:val="404040"/>
          <w:sz w:val="26"/>
          <w:szCs w:val="26"/>
          <w:lang w:eastAsia="en-CA"/>
        </w:rPr>
        <w:tab/>
      </w:r>
      <w:r w:rsidRPr="003B5837">
        <w:rPr>
          <w:rFonts w:ascii="Times New Roman" w:eastAsia="Times New Roman" w:hAnsi="Times New Roman" w:cs="Times New Roman"/>
          <w:color w:val="404040"/>
          <w:sz w:val="26"/>
          <w:szCs w:val="26"/>
          <w:lang w:eastAsia="en-CA"/>
        </w:rPr>
        <w:t>Any available reports from vocational, cost of care, and/or household services experts.</w:t>
      </w:r>
    </w:p>
    <w:p w14:paraId="4A7F63BC" w14:textId="7CDC8FB3" w:rsidR="003B5837" w:rsidRPr="003B5837" w:rsidRDefault="003B5837" w:rsidP="003B5837">
      <w:pPr>
        <w:shd w:val="clear" w:color="auto" w:fill="FFFFFF"/>
        <w:spacing w:before="100" w:beforeAutospacing="1" w:after="100" w:afterAutospacing="1" w:line="240" w:lineRule="auto"/>
        <w:ind w:left="1440" w:hanging="1080"/>
        <w:rPr>
          <w:rFonts w:ascii="Times New Roman" w:eastAsia="Times New Roman" w:hAnsi="Times New Roman" w:cs="Times New Roman"/>
          <w:color w:val="404040"/>
          <w:sz w:val="26"/>
          <w:szCs w:val="26"/>
          <w:lang w:eastAsia="en-CA"/>
        </w:rPr>
      </w:pPr>
      <w:sdt>
        <w:sdtPr>
          <w:rPr>
            <w:rFonts w:ascii="Times New Roman" w:eastAsia="Times New Roman" w:hAnsi="Times New Roman" w:cs="Times New Roman"/>
            <w:color w:val="404040"/>
            <w:sz w:val="26"/>
            <w:szCs w:val="26"/>
            <w:lang w:eastAsia="en-CA"/>
          </w:rPr>
          <w:id w:val="956675238"/>
          <w14:checkbox>
            <w14:checked w14:val="0"/>
            <w14:checkedState w14:val="2612" w14:font="MS Gothic"/>
            <w14:uncheckedState w14:val="2610" w14:font="MS Gothic"/>
          </w14:checkbox>
        </w:sdtPr>
        <w:sdtContent>
          <w:r>
            <w:rPr>
              <w:rFonts w:ascii="MS Gothic" w:eastAsia="MS Gothic" w:hAnsi="MS Gothic" w:cs="Times New Roman" w:hint="eastAsia"/>
              <w:color w:val="404040"/>
              <w:sz w:val="26"/>
              <w:szCs w:val="26"/>
              <w:lang w:eastAsia="en-CA"/>
            </w:rPr>
            <w:t>☐</w:t>
          </w:r>
        </w:sdtContent>
      </w:sdt>
      <w:r>
        <w:rPr>
          <w:rFonts w:ascii="Times New Roman" w:eastAsia="Times New Roman" w:hAnsi="Times New Roman" w:cs="Times New Roman"/>
          <w:color w:val="404040"/>
          <w:sz w:val="26"/>
          <w:szCs w:val="26"/>
          <w:lang w:eastAsia="en-CA"/>
        </w:rPr>
        <w:tab/>
      </w:r>
      <w:r w:rsidRPr="003B5837">
        <w:rPr>
          <w:rFonts w:ascii="Times New Roman" w:eastAsia="Times New Roman" w:hAnsi="Times New Roman" w:cs="Times New Roman"/>
          <w:color w:val="404040"/>
          <w:sz w:val="26"/>
          <w:szCs w:val="26"/>
          <w:lang w:eastAsia="en-CA"/>
        </w:rPr>
        <w:t>Any psychological or medical assessments that discuss issues relating to the plaintiff’s employability.</w:t>
      </w:r>
    </w:p>
    <w:p w14:paraId="1421FC64" w14:textId="4F5CD865" w:rsidR="003B5837" w:rsidRPr="003B5837" w:rsidRDefault="003B5837" w:rsidP="003B5837">
      <w:pPr>
        <w:shd w:val="clear" w:color="auto" w:fill="FFFFFF"/>
        <w:spacing w:before="100" w:beforeAutospacing="1" w:after="100" w:afterAutospacing="1" w:line="240" w:lineRule="auto"/>
        <w:ind w:left="1440" w:hanging="1080"/>
        <w:rPr>
          <w:rFonts w:ascii="Times New Roman" w:eastAsia="Times New Roman" w:hAnsi="Times New Roman" w:cs="Times New Roman"/>
          <w:color w:val="404040"/>
          <w:sz w:val="26"/>
          <w:szCs w:val="26"/>
          <w:lang w:eastAsia="en-CA"/>
        </w:rPr>
      </w:pPr>
      <w:sdt>
        <w:sdtPr>
          <w:rPr>
            <w:rFonts w:ascii="Times New Roman" w:eastAsia="Times New Roman" w:hAnsi="Times New Roman" w:cs="Times New Roman"/>
            <w:color w:val="404040"/>
            <w:sz w:val="26"/>
            <w:szCs w:val="26"/>
            <w:lang w:eastAsia="en-CA"/>
          </w:rPr>
          <w:id w:val="248860063"/>
          <w14:checkbox>
            <w14:checked w14:val="0"/>
            <w14:checkedState w14:val="2612" w14:font="MS Gothic"/>
            <w14:uncheckedState w14:val="2610" w14:font="MS Gothic"/>
          </w14:checkbox>
        </w:sdtPr>
        <w:sdtContent>
          <w:r>
            <w:rPr>
              <w:rFonts w:ascii="MS Gothic" w:eastAsia="MS Gothic" w:hAnsi="MS Gothic" w:cs="Times New Roman" w:hint="eastAsia"/>
              <w:color w:val="404040"/>
              <w:sz w:val="26"/>
              <w:szCs w:val="26"/>
              <w:lang w:eastAsia="en-CA"/>
            </w:rPr>
            <w:t>☐</w:t>
          </w:r>
        </w:sdtContent>
      </w:sdt>
      <w:r>
        <w:rPr>
          <w:rFonts w:ascii="Times New Roman" w:eastAsia="Times New Roman" w:hAnsi="Times New Roman" w:cs="Times New Roman"/>
          <w:color w:val="404040"/>
          <w:sz w:val="26"/>
          <w:szCs w:val="26"/>
          <w:lang w:eastAsia="en-CA"/>
        </w:rPr>
        <w:tab/>
      </w:r>
      <w:r w:rsidRPr="003B5837">
        <w:rPr>
          <w:rFonts w:ascii="Times New Roman" w:eastAsia="Times New Roman" w:hAnsi="Times New Roman" w:cs="Times New Roman"/>
          <w:color w:val="404040"/>
          <w:sz w:val="26"/>
          <w:szCs w:val="26"/>
          <w:lang w:eastAsia="en-CA"/>
        </w:rPr>
        <w:t>What level of education does the plaintiff presently have? How successful has he or she been in school? Is there any information which indicates how this would be different if the accident had not occurred?</w:t>
      </w:r>
    </w:p>
    <w:p w14:paraId="76DC3AAD" w14:textId="37E679A0" w:rsidR="003B5837" w:rsidRPr="003B5837" w:rsidRDefault="003B5837" w:rsidP="003B5837">
      <w:pPr>
        <w:shd w:val="clear" w:color="auto" w:fill="FFFFFF"/>
        <w:spacing w:before="100" w:beforeAutospacing="1" w:after="100" w:afterAutospacing="1" w:line="240" w:lineRule="auto"/>
        <w:ind w:left="1440" w:hanging="1080"/>
        <w:rPr>
          <w:rFonts w:ascii="Times New Roman" w:eastAsia="Times New Roman" w:hAnsi="Times New Roman" w:cs="Times New Roman"/>
          <w:color w:val="404040"/>
          <w:sz w:val="26"/>
          <w:szCs w:val="26"/>
          <w:lang w:eastAsia="en-CA"/>
        </w:rPr>
      </w:pPr>
      <w:sdt>
        <w:sdtPr>
          <w:rPr>
            <w:rFonts w:ascii="Times New Roman" w:eastAsia="Times New Roman" w:hAnsi="Times New Roman" w:cs="Times New Roman"/>
            <w:color w:val="404040"/>
            <w:sz w:val="26"/>
            <w:szCs w:val="26"/>
            <w:lang w:eastAsia="en-CA"/>
          </w:rPr>
          <w:id w:val="-327673112"/>
          <w14:checkbox>
            <w14:checked w14:val="0"/>
            <w14:checkedState w14:val="2612" w14:font="MS Gothic"/>
            <w14:uncheckedState w14:val="2610" w14:font="MS Gothic"/>
          </w14:checkbox>
        </w:sdtPr>
        <w:sdtContent>
          <w:r>
            <w:rPr>
              <w:rFonts w:ascii="MS Gothic" w:eastAsia="MS Gothic" w:hAnsi="MS Gothic" w:cs="Times New Roman" w:hint="eastAsia"/>
              <w:color w:val="404040"/>
              <w:sz w:val="26"/>
              <w:szCs w:val="26"/>
              <w:lang w:eastAsia="en-CA"/>
            </w:rPr>
            <w:t>☐</w:t>
          </w:r>
        </w:sdtContent>
      </w:sdt>
      <w:r>
        <w:rPr>
          <w:rFonts w:ascii="Times New Roman" w:eastAsia="Times New Roman" w:hAnsi="Times New Roman" w:cs="Times New Roman"/>
          <w:color w:val="404040"/>
          <w:sz w:val="26"/>
          <w:szCs w:val="26"/>
          <w:lang w:eastAsia="en-CA"/>
        </w:rPr>
        <w:tab/>
      </w:r>
      <w:r w:rsidRPr="003B5837">
        <w:rPr>
          <w:rFonts w:ascii="Times New Roman" w:eastAsia="Times New Roman" w:hAnsi="Times New Roman" w:cs="Times New Roman"/>
          <w:color w:val="404040"/>
          <w:sz w:val="26"/>
          <w:szCs w:val="26"/>
          <w:lang w:eastAsia="en-CA"/>
        </w:rPr>
        <w:t>We would like information regarding what the plaintiff’s academic and/or employment plans and potential had been (or might have been), but for the accident. In addition, we would like any available reports that discuss the plaintiff’s present academic and/or employment potential, now that the accident has occurred.</w:t>
      </w:r>
    </w:p>
    <w:p w14:paraId="79C40172" w14:textId="1FD4CE49" w:rsidR="003B5837" w:rsidRPr="003B5837" w:rsidRDefault="003B5837" w:rsidP="003B5837">
      <w:pPr>
        <w:shd w:val="clear" w:color="auto" w:fill="FFFFFF"/>
        <w:spacing w:before="100" w:beforeAutospacing="1" w:after="100" w:afterAutospacing="1" w:line="240" w:lineRule="auto"/>
        <w:ind w:left="1440" w:hanging="1080"/>
        <w:rPr>
          <w:rFonts w:ascii="Times New Roman" w:eastAsia="Times New Roman" w:hAnsi="Times New Roman" w:cs="Times New Roman"/>
          <w:color w:val="404040"/>
          <w:sz w:val="26"/>
          <w:szCs w:val="26"/>
          <w:lang w:eastAsia="en-CA"/>
        </w:rPr>
      </w:pPr>
      <w:sdt>
        <w:sdtPr>
          <w:rPr>
            <w:rFonts w:ascii="Times New Roman" w:eastAsia="Times New Roman" w:hAnsi="Times New Roman" w:cs="Times New Roman"/>
            <w:color w:val="404040"/>
            <w:sz w:val="26"/>
            <w:szCs w:val="26"/>
            <w:lang w:eastAsia="en-CA"/>
          </w:rPr>
          <w:id w:val="-1448230942"/>
          <w14:checkbox>
            <w14:checked w14:val="0"/>
            <w14:checkedState w14:val="2612" w14:font="MS Gothic"/>
            <w14:uncheckedState w14:val="2610" w14:font="MS Gothic"/>
          </w14:checkbox>
        </w:sdtPr>
        <w:sdtContent>
          <w:r>
            <w:rPr>
              <w:rFonts w:ascii="MS Gothic" w:eastAsia="MS Gothic" w:hAnsi="MS Gothic" w:cs="Times New Roman" w:hint="eastAsia"/>
              <w:color w:val="404040"/>
              <w:sz w:val="26"/>
              <w:szCs w:val="26"/>
              <w:lang w:eastAsia="en-CA"/>
            </w:rPr>
            <w:t>☐</w:t>
          </w:r>
        </w:sdtContent>
      </w:sdt>
      <w:r>
        <w:rPr>
          <w:rFonts w:ascii="Times New Roman" w:eastAsia="Times New Roman" w:hAnsi="Times New Roman" w:cs="Times New Roman"/>
          <w:color w:val="404040"/>
          <w:sz w:val="26"/>
          <w:szCs w:val="26"/>
          <w:lang w:eastAsia="en-CA"/>
        </w:rPr>
        <w:tab/>
      </w:r>
      <w:r w:rsidRPr="003B5837">
        <w:rPr>
          <w:rFonts w:ascii="Times New Roman" w:eastAsia="Times New Roman" w:hAnsi="Times New Roman" w:cs="Times New Roman"/>
          <w:color w:val="404040"/>
          <w:sz w:val="26"/>
          <w:szCs w:val="26"/>
          <w:lang w:eastAsia="en-CA"/>
        </w:rPr>
        <w:t xml:space="preserve">Since the plaintiff is a minor/young adult, our loss of income assessment may rely partially on the education and career paths of the immediate family. Therefore, we would like information regarding the education </w:t>
      </w:r>
      <w:r w:rsidRPr="003B5837">
        <w:rPr>
          <w:rFonts w:ascii="Times New Roman" w:eastAsia="Times New Roman" w:hAnsi="Times New Roman" w:cs="Times New Roman"/>
          <w:color w:val="404040"/>
          <w:sz w:val="26"/>
          <w:szCs w:val="26"/>
          <w:lang w:eastAsia="en-CA"/>
        </w:rPr>
        <w:lastRenderedPageBreak/>
        <w:t>levels, occupations, and earnings of the immediate family, particularly the plaintiff’s parents and siblings.</w:t>
      </w:r>
    </w:p>
    <w:p w14:paraId="6F786354" w14:textId="41FA9438" w:rsidR="003B5837" w:rsidRPr="003B5837" w:rsidRDefault="003B5837" w:rsidP="003B5837">
      <w:pPr>
        <w:shd w:val="clear" w:color="auto" w:fill="FFFFFF"/>
        <w:spacing w:before="100" w:beforeAutospacing="1" w:after="100" w:afterAutospacing="1" w:line="240" w:lineRule="auto"/>
        <w:ind w:left="1440" w:hanging="1080"/>
        <w:rPr>
          <w:rFonts w:ascii="Times New Roman" w:eastAsia="Times New Roman" w:hAnsi="Times New Roman" w:cs="Times New Roman"/>
          <w:color w:val="404040"/>
          <w:sz w:val="26"/>
          <w:szCs w:val="26"/>
          <w:lang w:eastAsia="en-CA"/>
        </w:rPr>
      </w:pPr>
      <w:sdt>
        <w:sdtPr>
          <w:rPr>
            <w:rFonts w:ascii="Times New Roman" w:eastAsia="Times New Roman" w:hAnsi="Times New Roman" w:cs="Times New Roman"/>
            <w:color w:val="404040"/>
            <w:sz w:val="26"/>
            <w:szCs w:val="26"/>
            <w:lang w:eastAsia="en-CA"/>
          </w:rPr>
          <w:id w:val="1550730458"/>
          <w14:checkbox>
            <w14:checked w14:val="0"/>
            <w14:checkedState w14:val="2612" w14:font="MS Gothic"/>
            <w14:uncheckedState w14:val="2610" w14:font="MS Gothic"/>
          </w14:checkbox>
        </w:sdtPr>
        <w:sdtContent>
          <w:r>
            <w:rPr>
              <w:rFonts w:ascii="MS Gothic" w:eastAsia="MS Gothic" w:hAnsi="MS Gothic" w:cs="Times New Roman" w:hint="eastAsia"/>
              <w:color w:val="404040"/>
              <w:sz w:val="26"/>
              <w:szCs w:val="26"/>
              <w:lang w:eastAsia="en-CA"/>
            </w:rPr>
            <w:t>☐</w:t>
          </w:r>
        </w:sdtContent>
      </w:sdt>
      <w:r>
        <w:rPr>
          <w:rFonts w:ascii="Times New Roman" w:eastAsia="Times New Roman" w:hAnsi="Times New Roman" w:cs="Times New Roman"/>
          <w:color w:val="404040"/>
          <w:sz w:val="26"/>
          <w:szCs w:val="26"/>
          <w:lang w:eastAsia="en-CA"/>
        </w:rPr>
        <w:tab/>
      </w:r>
      <w:r w:rsidRPr="003B5837">
        <w:rPr>
          <w:rFonts w:ascii="Times New Roman" w:eastAsia="Times New Roman" w:hAnsi="Times New Roman" w:cs="Times New Roman"/>
          <w:color w:val="404040"/>
          <w:sz w:val="26"/>
          <w:szCs w:val="26"/>
          <w:lang w:eastAsia="en-CA"/>
        </w:rPr>
        <w:t>If available, please provide portions of Examinations for Discovery transcripts which deal with any of the above topics.</w:t>
      </w:r>
    </w:p>
    <w:p w14:paraId="78878386" w14:textId="77777777" w:rsidR="003B5837" w:rsidRPr="003B5837" w:rsidRDefault="003B5837" w:rsidP="003B5837">
      <w:pPr>
        <w:shd w:val="clear" w:color="auto" w:fill="FFFFFF"/>
        <w:spacing w:after="360" w:line="240" w:lineRule="auto"/>
        <w:rPr>
          <w:rFonts w:ascii="Times New Roman" w:eastAsia="Times New Roman" w:hAnsi="Times New Roman" w:cs="Times New Roman"/>
          <w:color w:val="404040"/>
          <w:sz w:val="26"/>
          <w:szCs w:val="26"/>
          <w:lang w:eastAsia="en-CA"/>
        </w:rPr>
      </w:pPr>
      <w:r w:rsidRPr="003B5837">
        <w:rPr>
          <w:rFonts w:ascii="Times New Roman" w:eastAsia="Times New Roman" w:hAnsi="Times New Roman" w:cs="Times New Roman"/>
          <w:color w:val="404040"/>
          <w:sz w:val="26"/>
          <w:szCs w:val="26"/>
          <w:lang w:eastAsia="en-CA"/>
        </w:rPr>
        <w:t>To summarize, we require any information which relates to what the plaintiff’s career path (and income potential) would likely have been if the accident had </w:t>
      </w:r>
      <w:r w:rsidRPr="003B5837">
        <w:rPr>
          <w:rFonts w:ascii="Times New Roman" w:eastAsia="Times New Roman" w:hAnsi="Times New Roman" w:cs="Times New Roman"/>
          <w:i/>
          <w:iCs/>
          <w:color w:val="404040"/>
          <w:sz w:val="26"/>
          <w:szCs w:val="26"/>
          <w:lang w:eastAsia="en-CA"/>
        </w:rPr>
        <w:t>not</w:t>
      </w:r>
      <w:r w:rsidRPr="003B5837">
        <w:rPr>
          <w:rFonts w:ascii="Times New Roman" w:eastAsia="Times New Roman" w:hAnsi="Times New Roman" w:cs="Times New Roman"/>
          <w:color w:val="404040"/>
          <w:sz w:val="26"/>
          <w:szCs w:val="26"/>
          <w:lang w:eastAsia="en-CA"/>
        </w:rPr>
        <w:t> occurred; and what it will likely be now, given that the accident </w:t>
      </w:r>
      <w:r w:rsidRPr="003B5837">
        <w:rPr>
          <w:rFonts w:ascii="Times New Roman" w:eastAsia="Times New Roman" w:hAnsi="Times New Roman" w:cs="Times New Roman"/>
          <w:i/>
          <w:iCs/>
          <w:color w:val="404040"/>
          <w:sz w:val="26"/>
          <w:szCs w:val="26"/>
          <w:lang w:eastAsia="en-CA"/>
        </w:rPr>
        <w:t>has</w:t>
      </w:r>
      <w:r w:rsidRPr="003B5837">
        <w:rPr>
          <w:rFonts w:ascii="Times New Roman" w:eastAsia="Times New Roman" w:hAnsi="Times New Roman" w:cs="Times New Roman"/>
          <w:color w:val="404040"/>
          <w:sz w:val="26"/>
          <w:szCs w:val="26"/>
          <w:lang w:eastAsia="en-CA"/>
        </w:rPr>
        <w:t> occurred.</w:t>
      </w:r>
    </w:p>
    <w:p w14:paraId="01CDAF2F" w14:textId="52E37C8C" w:rsidR="003B5837" w:rsidRPr="003B5837" w:rsidRDefault="003B5837" w:rsidP="003B5837">
      <w:pPr>
        <w:shd w:val="clear" w:color="auto" w:fill="FFFFFF"/>
        <w:spacing w:after="360" w:line="240" w:lineRule="auto"/>
        <w:rPr>
          <w:rFonts w:ascii="Times New Roman" w:eastAsia="Times New Roman" w:hAnsi="Times New Roman" w:cs="Times New Roman"/>
          <w:color w:val="404040"/>
          <w:sz w:val="26"/>
          <w:szCs w:val="26"/>
          <w:lang w:eastAsia="en-CA"/>
        </w:rPr>
      </w:pPr>
      <w:r w:rsidRPr="003B5837">
        <w:rPr>
          <w:rFonts w:ascii="Times New Roman" w:eastAsia="Times New Roman" w:hAnsi="Times New Roman" w:cs="Times New Roman"/>
          <w:color w:val="404040"/>
          <w:sz w:val="26"/>
          <w:szCs w:val="26"/>
          <w:lang w:eastAsia="en-CA"/>
        </w:rPr>
        <w:t xml:space="preserve">In addition to the usual detailed summaries of our economic approach, assumptions, and results, our loss of income reports </w:t>
      </w:r>
      <w:r w:rsidRPr="003B5837">
        <w:rPr>
          <w:rFonts w:ascii="Times New Roman" w:eastAsia="Times New Roman" w:hAnsi="Times New Roman" w:cs="Times New Roman"/>
          <w:color w:val="404040"/>
          <w:sz w:val="26"/>
          <w:szCs w:val="26"/>
          <w:lang w:eastAsia="en-CA"/>
        </w:rPr>
        <w:t>includes</w:t>
      </w:r>
      <w:r w:rsidRPr="003B5837">
        <w:rPr>
          <w:rFonts w:ascii="Times New Roman" w:eastAsia="Times New Roman" w:hAnsi="Times New Roman" w:cs="Times New Roman"/>
          <w:color w:val="404040"/>
          <w:sz w:val="26"/>
          <w:szCs w:val="26"/>
          <w:lang w:eastAsia="en-CA"/>
        </w:rPr>
        <w:t xml:space="preserve"> an inflation-adjustment graph which can be of assistance in determining an appropriate award for non-pecuniary damages. Also, we provide a table of judgment interest rates which can be applied to “special damages” costs which have been incurred over the pre-trial period.</w:t>
      </w:r>
    </w:p>
    <w:p w14:paraId="4AC64928" w14:textId="77777777" w:rsidR="003B5837" w:rsidRDefault="003B5837"/>
    <w:sectPr w:rsidR="003B58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187234"/>
    <w:multiLevelType w:val="multilevel"/>
    <w:tmpl w:val="F4BC5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37"/>
    <w:rsid w:val="003B58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0FCC8"/>
  <w15:chartTrackingRefBased/>
  <w15:docId w15:val="{1D237A86-7B32-4D79-A27B-BED7D702B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B58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3B5837"/>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5837"/>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3B5837"/>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3B5837"/>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197386">
      <w:bodyDiv w:val="1"/>
      <w:marLeft w:val="0"/>
      <w:marRight w:val="0"/>
      <w:marTop w:val="0"/>
      <w:marBottom w:val="0"/>
      <w:divBdr>
        <w:top w:val="none" w:sz="0" w:space="0" w:color="auto"/>
        <w:left w:val="none" w:sz="0" w:space="0" w:color="auto"/>
        <w:bottom w:val="none" w:sz="0" w:space="0" w:color="auto"/>
        <w:right w:val="none" w:sz="0" w:space="0" w:color="auto"/>
      </w:divBdr>
      <w:divsChild>
        <w:div w:id="1815486015">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Economica Admin</dc:creator>
  <cp:keywords/>
  <dc:description/>
  <cp:lastModifiedBy>Economica Admin</cp:lastModifiedBy>
  <cp:revision>1</cp:revision>
  <dcterms:created xsi:type="dcterms:W3CDTF">2019-08-21T19:26:00Z</dcterms:created>
  <dcterms:modified xsi:type="dcterms:W3CDTF">2019-08-21T19:28:00Z</dcterms:modified>
</cp:coreProperties>
</file>